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D7" w:rsidRPr="00B266B0" w:rsidRDefault="009978D7" w:rsidP="009978D7">
      <w:pPr>
        <w:pStyle w:val="Header"/>
        <w:tabs>
          <w:tab w:val="right" w:pos="9639"/>
        </w:tabs>
        <w:rPr>
          <w:bCs/>
          <w:i/>
          <w:noProof w:val="0"/>
          <w:sz w:val="24"/>
          <w:szCs w:val="24"/>
          <w:lang w:val="en-GB" w:eastAsia="ja-JP"/>
        </w:rPr>
      </w:pPr>
      <w:r w:rsidRPr="00B266B0">
        <w:rPr>
          <w:bCs/>
          <w:noProof w:val="0"/>
          <w:sz w:val="24"/>
          <w:szCs w:val="24"/>
          <w:lang w:val="en-GB"/>
        </w:rPr>
        <w:t xml:space="preserve">3GPP TSG-RAN </w:t>
      </w:r>
      <w:r w:rsidRPr="00B266B0">
        <w:rPr>
          <w:noProof w:val="0"/>
          <w:sz w:val="24"/>
          <w:szCs w:val="24"/>
          <w:lang w:val="en-GB"/>
        </w:rPr>
        <w:t>WG</w:t>
      </w:r>
      <w:r w:rsidR="00D37189">
        <w:rPr>
          <w:noProof w:val="0"/>
          <w:sz w:val="24"/>
          <w:szCs w:val="24"/>
          <w:lang w:val="en-GB"/>
        </w:rPr>
        <w:t>3</w:t>
      </w:r>
      <w:r w:rsidRPr="00B266B0">
        <w:rPr>
          <w:noProof w:val="0"/>
          <w:sz w:val="24"/>
          <w:szCs w:val="24"/>
          <w:lang w:val="en-GB"/>
        </w:rPr>
        <w:t xml:space="preserve"> Meeting #7</w:t>
      </w:r>
      <w:r w:rsidR="00060390">
        <w:rPr>
          <w:noProof w:val="0"/>
          <w:sz w:val="24"/>
          <w:szCs w:val="24"/>
          <w:lang w:val="en-GB"/>
        </w:rPr>
        <w:t>7bis</w:t>
      </w:r>
      <w:r w:rsidRPr="00B266B0">
        <w:rPr>
          <w:bCs/>
          <w:noProof w:val="0"/>
          <w:sz w:val="24"/>
          <w:szCs w:val="24"/>
          <w:lang w:val="en-GB"/>
        </w:rPr>
        <w:tab/>
      </w:r>
      <w:r w:rsidRPr="00FE0538">
        <w:rPr>
          <w:rFonts w:hint="eastAsia"/>
          <w:bCs/>
          <w:i/>
          <w:noProof w:val="0"/>
          <w:sz w:val="24"/>
          <w:szCs w:val="24"/>
          <w:lang w:val="en-GB" w:eastAsia="ja-JP"/>
        </w:rPr>
        <w:t>R</w:t>
      </w:r>
      <w:r w:rsidR="00060390" w:rsidRPr="00FE0538">
        <w:rPr>
          <w:bCs/>
          <w:i/>
          <w:noProof w:val="0"/>
          <w:sz w:val="24"/>
          <w:szCs w:val="24"/>
          <w:lang w:val="en-GB" w:eastAsia="ja-JP"/>
        </w:rPr>
        <w:t>3</w:t>
      </w:r>
      <w:r w:rsidRPr="00FE0538">
        <w:rPr>
          <w:rFonts w:hint="eastAsia"/>
          <w:bCs/>
          <w:i/>
          <w:noProof w:val="0"/>
          <w:sz w:val="24"/>
          <w:szCs w:val="24"/>
          <w:lang w:val="en-GB" w:eastAsia="ja-JP"/>
        </w:rPr>
        <w:t>-</w:t>
      </w:r>
      <w:r w:rsidRPr="00FE0538">
        <w:rPr>
          <w:bCs/>
          <w:i/>
          <w:noProof w:val="0"/>
          <w:sz w:val="24"/>
          <w:szCs w:val="24"/>
          <w:lang w:val="en-GB" w:eastAsia="ja-JP"/>
        </w:rPr>
        <w:t>12</w:t>
      </w:r>
      <w:r w:rsidR="00FE0538" w:rsidRPr="00FE0538">
        <w:rPr>
          <w:bCs/>
          <w:i/>
          <w:noProof w:val="0"/>
          <w:sz w:val="24"/>
          <w:szCs w:val="24"/>
          <w:lang w:val="en-GB" w:eastAsia="ja-JP"/>
        </w:rPr>
        <w:t>2273</w:t>
      </w:r>
    </w:p>
    <w:p w:rsidR="009978D7" w:rsidRPr="00B266B0" w:rsidRDefault="00060390" w:rsidP="009978D7">
      <w:pPr>
        <w:pStyle w:val="Header"/>
        <w:tabs>
          <w:tab w:val="right" w:pos="9639"/>
        </w:tabs>
        <w:rPr>
          <w:bCs/>
          <w:noProof w:val="0"/>
          <w:sz w:val="24"/>
          <w:szCs w:val="24"/>
          <w:lang w:val="en-GB"/>
        </w:rPr>
      </w:pPr>
      <w:r>
        <w:rPr>
          <w:rFonts w:eastAsia="SimSun"/>
          <w:noProof w:val="0"/>
          <w:sz w:val="24"/>
          <w:szCs w:val="24"/>
          <w:lang w:val="en-GB" w:eastAsia="zh-CN"/>
        </w:rPr>
        <w:t>Lecce</w:t>
      </w:r>
      <w:r w:rsidR="009978D7" w:rsidRPr="00B266B0">
        <w:rPr>
          <w:rFonts w:eastAsia="SimSun"/>
          <w:noProof w:val="0"/>
          <w:sz w:val="24"/>
          <w:szCs w:val="24"/>
          <w:lang w:val="en-GB" w:eastAsia="zh-CN"/>
        </w:rPr>
        <w:t xml:space="preserve">, </w:t>
      </w:r>
      <w:r>
        <w:rPr>
          <w:rFonts w:eastAsia="SimSun"/>
          <w:noProof w:val="0"/>
          <w:sz w:val="24"/>
          <w:szCs w:val="24"/>
          <w:lang w:val="en-GB" w:eastAsia="zh-CN"/>
        </w:rPr>
        <w:t>Italy</w:t>
      </w:r>
      <w:r w:rsidR="009978D7" w:rsidRPr="00B266B0">
        <w:rPr>
          <w:rFonts w:eastAsia="SimSun"/>
          <w:noProof w:val="0"/>
          <w:sz w:val="24"/>
          <w:szCs w:val="24"/>
          <w:lang w:val="en-GB" w:eastAsia="zh-CN"/>
        </w:rPr>
        <w:t xml:space="preserve">, </w:t>
      </w:r>
      <w:r>
        <w:rPr>
          <w:rFonts w:eastAsia="SimSun"/>
          <w:noProof w:val="0"/>
          <w:sz w:val="24"/>
          <w:szCs w:val="24"/>
          <w:lang w:val="en-GB" w:eastAsia="zh-CN"/>
        </w:rPr>
        <w:t>8</w:t>
      </w:r>
      <w:r w:rsidRPr="00060390">
        <w:rPr>
          <w:rFonts w:eastAsia="SimSun"/>
          <w:noProof w:val="0"/>
          <w:sz w:val="24"/>
          <w:szCs w:val="24"/>
          <w:vertAlign w:val="superscript"/>
          <w:lang w:val="en-GB" w:eastAsia="zh-CN"/>
        </w:rPr>
        <w:t>th</w:t>
      </w:r>
      <w:r w:rsidR="009978D7">
        <w:rPr>
          <w:rFonts w:eastAsia="SimSun"/>
          <w:noProof w:val="0"/>
          <w:sz w:val="24"/>
          <w:szCs w:val="24"/>
          <w:lang w:val="en-GB" w:eastAsia="zh-CN"/>
        </w:rPr>
        <w:t xml:space="preserve"> </w:t>
      </w:r>
      <w:r>
        <w:rPr>
          <w:rFonts w:eastAsia="SimSun"/>
          <w:noProof w:val="0"/>
          <w:sz w:val="24"/>
          <w:szCs w:val="24"/>
          <w:lang w:val="en-GB" w:eastAsia="zh-CN"/>
        </w:rPr>
        <w:t>–</w:t>
      </w:r>
      <w:r w:rsidR="009978D7" w:rsidRPr="00B266B0">
        <w:rPr>
          <w:rFonts w:eastAsia="SimSun"/>
          <w:noProof w:val="0"/>
          <w:sz w:val="24"/>
          <w:szCs w:val="24"/>
          <w:lang w:val="en-GB" w:eastAsia="zh-CN"/>
        </w:rPr>
        <w:t xml:space="preserve"> </w:t>
      </w:r>
      <w:r>
        <w:rPr>
          <w:rFonts w:eastAsia="SimSun"/>
          <w:noProof w:val="0"/>
          <w:sz w:val="24"/>
          <w:szCs w:val="24"/>
          <w:lang w:val="en-GB" w:eastAsia="zh-CN"/>
        </w:rPr>
        <w:t>12</w:t>
      </w:r>
      <w:r w:rsidRPr="00060390">
        <w:rPr>
          <w:rFonts w:eastAsia="SimSun"/>
          <w:noProof w:val="0"/>
          <w:sz w:val="24"/>
          <w:szCs w:val="24"/>
          <w:vertAlign w:val="superscript"/>
          <w:lang w:val="en-GB" w:eastAsia="zh-CN"/>
        </w:rPr>
        <w:t>th</w:t>
      </w:r>
      <w:r>
        <w:rPr>
          <w:rFonts w:eastAsia="SimSun"/>
          <w:noProof w:val="0"/>
          <w:sz w:val="24"/>
          <w:szCs w:val="24"/>
          <w:lang w:val="en-GB" w:eastAsia="zh-CN"/>
        </w:rPr>
        <w:t xml:space="preserve"> October</w:t>
      </w:r>
      <w:r w:rsidR="009978D7">
        <w:rPr>
          <w:rFonts w:eastAsia="SimSun"/>
          <w:noProof w:val="0"/>
          <w:sz w:val="24"/>
          <w:szCs w:val="24"/>
          <w:lang w:val="en-GB" w:eastAsia="zh-CN"/>
        </w:rPr>
        <w:t xml:space="preserve"> </w:t>
      </w:r>
      <w:r w:rsidR="009978D7" w:rsidRPr="00B266B0">
        <w:rPr>
          <w:rFonts w:eastAsia="SimSun"/>
          <w:noProof w:val="0"/>
          <w:sz w:val="24"/>
          <w:szCs w:val="24"/>
          <w:lang w:val="en-GB" w:eastAsia="zh-CN"/>
        </w:rPr>
        <w:t>201</w:t>
      </w:r>
      <w:r w:rsidR="009978D7">
        <w:rPr>
          <w:rFonts w:eastAsia="SimSun"/>
          <w:noProof w:val="0"/>
          <w:sz w:val="24"/>
          <w:szCs w:val="24"/>
          <w:lang w:val="en-GB" w:eastAsia="zh-CN"/>
        </w:rPr>
        <w:t>2</w:t>
      </w:r>
      <w:r w:rsidR="009978D7">
        <w:rPr>
          <w:rFonts w:eastAsia="SimSun"/>
          <w:noProof w:val="0"/>
          <w:sz w:val="24"/>
          <w:szCs w:val="24"/>
          <w:lang w:val="en-GB" w:eastAsia="zh-CN"/>
        </w:rPr>
        <w:tab/>
      </w:r>
    </w:p>
    <w:p w:rsidR="0034111C" w:rsidRPr="007B7496" w:rsidRDefault="0034111C">
      <w:pPr>
        <w:pStyle w:val="Header"/>
        <w:rPr>
          <w:bCs/>
          <w:noProof w:val="0"/>
          <w:sz w:val="24"/>
          <w:lang w:val="en-GB" w:eastAsia="ja-JP"/>
        </w:rPr>
      </w:pPr>
    </w:p>
    <w:p w:rsidR="0034111C" w:rsidRPr="007B7496" w:rsidRDefault="0034111C">
      <w:pPr>
        <w:pStyle w:val="Header"/>
        <w:rPr>
          <w:bCs/>
          <w:noProof w:val="0"/>
          <w:sz w:val="24"/>
          <w:lang w:val="en-GB" w:eastAsia="ja-JP"/>
        </w:rPr>
      </w:pPr>
    </w:p>
    <w:p w:rsidR="0034111C" w:rsidRPr="00AE4FF0" w:rsidRDefault="0034111C">
      <w:pPr>
        <w:pStyle w:val="CRCoverPage"/>
        <w:rPr>
          <w:rFonts w:cs="Arial"/>
          <w:b/>
          <w:bCs/>
          <w:sz w:val="24"/>
          <w:lang w:val="en-US" w:eastAsia="ja-JP"/>
        </w:rPr>
      </w:pPr>
      <w:r w:rsidRPr="00AE4FF0">
        <w:rPr>
          <w:rFonts w:cs="Arial"/>
          <w:b/>
          <w:bCs/>
          <w:sz w:val="24"/>
          <w:lang w:val="en-US"/>
        </w:rPr>
        <w:t>Agenda item:</w:t>
      </w:r>
      <w:r w:rsidRPr="00AE4FF0">
        <w:rPr>
          <w:rFonts w:cs="Arial"/>
          <w:b/>
          <w:bCs/>
          <w:sz w:val="24"/>
          <w:lang w:val="en-US"/>
        </w:rPr>
        <w:tab/>
      </w:r>
      <w:r w:rsidRPr="00D37189">
        <w:rPr>
          <w:rFonts w:cs="Arial"/>
          <w:b/>
          <w:bCs/>
          <w:sz w:val="24"/>
          <w:lang w:val="en-US"/>
        </w:rPr>
        <w:tab/>
      </w:r>
      <w:r w:rsidR="00187A5A">
        <w:rPr>
          <w:rFonts w:cs="Arial"/>
          <w:b/>
          <w:bCs/>
          <w:sz w:val="24"/>
          <w:lang w:val="en-US"/>
        </w:rPr>
        <w:t>11.1</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FC3AEE" w:rsidRPr="007B7496">
        <w:rPr>
          <w:rFonts w:ascii="Arial" w:hAnsi="Arial" w:cs="Arial"/>
          <w:b/>
          <w:bCs/>
          <w:sz w:val="24"/>
        </w:rPr>
        <w:t>Nokia Siemens Networks</w:t>
      </w:r>
    </w:p>
    <w:p w:rsidR="0034111C" w:rsidRPr="007B7496" w:rsidRDefault="0034111C">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D37189">
        <w:rPr>
          <w:rFonts w:ascii="Arial" w:hAnsi="Arial" w:cs="Arial"/>
          <w:b/>
          <w:bCs/>
          <w:sz w:val="24"/>
        </w:rPr>
        <w:t>On the support for network sharing during rSRVCC</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6C481B" w:rsidRDefault="00D37189" w:rsidP="0072244A">
      <w:r>
        <w:t xml:space="preserve">In SA2#92, S2-123397 [1] vs. TS 23.251 [2] was agreed in order to properly support GWCN for GERAN and UTRAN. </w:t>
      </w:r>
      <w:r w:rsidR="00834602">
        <w:t xml:space="preserve"> </w:t>
      </w:r>
      <w:r>
        <w:t xml:space="preserve">In such CR, with regard to SRVCC from CS to PS, the concept of </w:t>
      </w:r>
    </w:p>
    <w:p w:rsidR="00D37189" w:rsidRDefault="00D37189" w:rsidP="006C481B">
      <w:pPr>
        <w:ind w:left="284"/>
      </w:pPr>
      <w:r w:rsidRPr="00D37189">
        <w:rPr>
          <w:b/>
          <w:i/>
        </w:rPr>
        <w:t>Anchor PLMN</w:t>
      </w:r>
      <w:r>
        <w:t xml:space="preserve"> was defined as “</w:t>
      </w:r>
      <w:r w:rsidRPr="00D37189">
        <w:rPr>
          <w:u w:val="single"/>
        </w:rPr>
        <w:t>the core network operator of the MSC/MME/SGSN in which the voice call or session was initiated</w:t>
      </w:r>
      <w:r>
        <w:t>”.</w:t>
      </w:r>
    </w:p>
    <w:p w:rsidR="006C481B" w:rsidRDefault="00D37189" w:rsidP="0072244A">
      <w:r w:rsidRPr="00D37189">
        <w:t xml:space="preserve">Also, a new RNC function was introduced: </w:t>
      </w:r>
    </w:p>
    <w:p w:rsidR="0034111C" w:rsidRDefault="00D37189" w:rsidP="006C481B">
      <w:pPr>
        <w:ind w:left="284"/>
      </w:pPr>
      <w:r w:rsidRPr="00D37189">
        <w:t>“</w:t>
      </w:r>
      <w:r w:rsidRPr="00D37189">
        <w:rPr>
          <w:u w:val="single"/>
        </w:rPr>
        <w:t>In order to support SRVCC from CS to PS, the source RNC informs the target RNC/BSC of the Anchor PLMN identity</w:t>
      </w:r>
      <w:r w:rsidRPr="00D37189">
        <w:t>”</w:t>
      </w:r>
      <w:r>
        <w:t>.</w:t>
      </w:r>
    </w:p>
    <w:p w:rsidR="007160C7" w:rsidRDefault="00D37189" w:rsidP="0072244A">
      <w:r>
        <w:t xml:space="preserve">In order to support this new function, the RNC needs to be provided with the Anchor PLMN </w:t>
      </w:r>
      <w:r w:rsidR="003A2D64">
        <w:t>Identity</w:t>
      </w:r>
      <w:r>
        <w:t xml:space="preserve"> in case the </w:t>
      </w:r>
      <w:r w:rsidR="007160C7">
        <w:t xml:space="preserve">target selection consists for multiple PLMNs for </w:t>
      </w:r>
      <w:r>
        <w:t>SRVCC CS to PS (i.e., rSRVCC)</w:t>
      </w:r>
      <w:r w:rsidR="007160C7">
        <w:t xml:space="preserve"> and the Anchor PLMN is available.</w:t>
      </w:r>
    </w:p>
    <w:p w:rsidR="00D37189" w:rsidRDefault="003A2D64" w:rsidP="0072244A">
      <w:r>
        <w:t>N</w:t>
      </w:r>
      <w:r w:rsidR="007160C7">
        <w:t>ote that a</w:t>
      </w:r>
      <w:r w:rsidR="00D37189">
        <w:t xml:space="preserve"> relative CT</w:t>
      </w:r>
      <w:r w:rsidR="00101167">
        <w:t>4</w:t>
      </w:r>
      <w:r w:rsidR="00D37189">
        <w:t xml:space="preserve"> change was agreed in C4-121728 [3] vs. TS 29.280 [4]</w:t>
      </w:r>
      <w:r w:rsidR="005C567F">
        <w:t xml:space="preserve">: with this change, </w:t>
      </w:r>
      <w:r w:rsidR="006C481B">
        <w:t xml:space="preserve">during SRVCC PS to CS, </w:t>
      </w:r>
      <w:r w:rsidR="005C567F">
        <w:t xml:space="preserve">the SGSN/MME provides the MSC server with the Anchor PLMN </w:t>
      </w:r>
      <w:r>
        <w:t>Identity</w:t>
      </w:r>
      <w:r w:rsidR="005C567F">
        <w:t xml:space="preserve">. The MSC server, in turn, needs to forward the Anchor PLMN </w:t>
      </w:r>
      <w:r>
        <w:t>Identity</w:t>
      </w:r>
      <w:r w:rsidR="005C567F">
        <w:t xml:space="preserve"> to the RNC. To do so, RAN3 changes are needed [5].</w:t>
      </w:r>
    </w:p>
    <w:p w:rsidR="00834602" w:rsidRDefault="00834602" w:rsidP="0072244A">
      <w:r>
        <w:t>This discussion paper describe</w:t>
      </w:r>
      <w:r w:rsidR="003A2D64">
        <w:t>s</w:t>
      </w:r>
      <w:r>
        <w:t xml:space="preserve"> the scenario that SA2 addressed and the changes necessary in RAN3 </w:t>
      </w:r>
      <w:r w:rsidR="003A2D64">
        <w:t xml:space="preserve">in order </w:t>
      </w:r>
      <w:r>
        <w:t>to align with SA2 and CT4.</w:t>
      </w:r>
    </w:p>
    <w:p w:rsidR="00D37189" w:rsidRDefault="0034111C" w:rsidP="00B90C87">
      <w:pPr>
        <w:pStyle w:val="Heading1"/>
      </w:pPr>
      <w:r w:rsidRPr="007B7496">
        <w:t>2</w:t>
      </w:r>
      <w:r w:rsidRPr="007B7496">
        <w:tab/>
      </w:r>
      <w:r w:rsidR="00D37189">
        <w:t>Scenario</w:t>
      </w:r>
      <w:r w:rsidR="005C567F">
        <w:t xml:space="preserve"> to be addressed</w:t>
      </w:r>
    </w:p>
    <w:p w:rsidR="005C567F" w:rsidRDefault="005C567F" w:rsidP="00D37189">
      <w:r>
        <w:t>The scenario that needs to be considered is the following:</w:t>
      </w:r>
    </w:p>
    <w:p w:rsidR="005C567F" w:rsidRDefault="005C567F" w:rsidP="005C567F">
      <w:pPr>
        <w:numPr>
          <w:ilvl w:val="0"/>
          <w:numId w:val="25"/>
        </w:numPr>
      </w:pPr>
      <w:r>
        <w:t xml:space="preserve">Initially a voice </w:t>
      </w:r>
      <w:r w:rsidR="00D37189">
        <w:t>call is started from LTE where there is only the PS PLMN</w:t>
      </w:r>
      <w:r>
        <w:t xml:space="preserve"> (defined as the Anchor PLMN)</w:t>
      </w:r>
      <w:r w:rsidR="00D37189">
        <w:t xml:space="preserve">. </w:t>
      </w:r>
    </w:p>
    <w:p w:rsidR="005C567F" w:rsidRDefault="005C567F" w:rsidP="005C567F">
      <w:pPr>
        <w:numPr>
          <w:ilvl w:val="0"/>
          <w:numId w:val="25"/>
        </w:numPr>
      </w:pPr>
      <w:r>
        <w:t xml:space="preserve">Subsequently the </w:t>
      </w:r>
      <w:r w:rsidR="00D37189">
        <w:t xml:space="preserve">UE is </w:t>
      </w:r>
      <w:proofErr w:type="spellStart"/>
      <w:r w:rsidR="00D37189">
        <w:t>SRVCC</w:t>
      </w:r>
      <w:r>
        <w:t>ed</w:t>
      </w:r>
      <w:proofErr w:type="spellEnd"/>
      <w:r>
        <w:t xml:space="preserve"> to</w:t>
      </w:r>
      <w:r w:rsidR="006C481B">
        <w:t>, e.g.,</w:t>
      </w:r>
      <w:r>
        <w:t xml:space="preserve"> </w:t>
      </w:r>
      <w:r w:rsidR="006C481B">
        <w:t>UMTS</w:t>
      </w:r>
      <w:r>
        <w:t xml:space="preserve"> CS. After this step, </w:t>
      </w:r>
      <w:r w:rsidR="00D37189">
        <w:t>the CS PLMN may be different</w:t>
      </w:r>
      <w:r>
        <w:t xml:space="preserve"> from</w:t>
      </w:r>
      <w:r w:rsidR="00D37189">
        <w:t xml:space="preserve"> the source </w:t>
      </w:r>
      <w:r>
        <w:t xml:space="preserve">PS PLMN </w:t>
      </w:r>
      <w:r w:rsidR="00D37189">
        <w:t>(</w:t>
      </w:r>
      <w:r>
        <w:t>i.e., the</w:t>
      </w:r>
      <w:r w:rsidR="00D37189">
        <w:t xml:space="preserve"> </w:t>
      </w:r>
      <w:r>
        <w:t>A</w:t>
      </w:r>
      <w:r w:rsidR="00D37189">
        <w:t>nchor PLMN)</w:t>
      </w:r>
      <w:r>
        <w:t>.</w:t>
      </w:r>
    </w:p>
    <w:p w:rsidR="00D37189" w:rsidRDefault="005C567F" w:rsidP="005C567F">
      <w:pPr>
        <w:numPr>
          <w:ilvl w:val="0"/>
          <w:numId w:val="25"/>
        </w:numPr>
      </w:pPr>
      <w:r>
        <w:t>I</w:t>
      </w:r>
      <w:r w:rsidR="00D37189">
        <w:t xml:space="preserve">f the call is handed back to LTE </w:t>
      </w:r>
      <w:r w:rsidR="001B0A24">
        <w:t xml:space="preserve">and there are multiple PLMNs available as target selection </w:t>
      </w:r>
      <w:r w:rsidR="00D37189">
        <w:t>then we want the target to point back to the source (</w:t>
      </w:r>
      <w:r>
        <w:t>i.e., to the A</w:t>
      </w:r>
      <w:r w:rsidR="00D37189">
        <w:t>nchor PLMN</w:t>
      </w:r>
      <w:r w:rsidR="001B0A24">
        <w:t xml:space="preserve"> if available</w:t>
      </w:r>
      <w:r w:rsidR="00D37189">
        <w:t xml:space="preserve">). </w:t>
      </w:r>
    </w:p>
    <w:p w:rsidR="00D37189" w:rsidRDefault="00D37189" w:rsidP="00D37189">
      <w:r>
        <w:t xml:space="preserve">The introduction of Anchor PLMN </w:t>
      </w:r>
      <w:r w:rsidR="006C481B">
        <w:t xml:space="preserve">is therefore </w:t>
      </w:r>
      <w:r>
        <w:t xml:space="preserve">to ensure that when UE is coming back to LTE due to rSRVCC then the same starting PLMN, if available, could be selected as the handover target. An example, a UE has started </w:t>
      </w:r>
      <w:proofErr w:type="gramStart"/>
      <w:r>
        <w:t>a</w:t>
      </w:r>
      <w:proofErr w:type="gramEnd"/>
      <w:r>
        <w:t xml:space="preserve"> IMS voice session in LTE PLMN</w:t>
      </w:r>
      <w:r w:rsidRPr="006C481B">
        <w:rPr>
          <w:vertAlign w:val="subscript"/>
        </w:rPr>
        <w:t>A</w:t>
      </w:r>
      <w:r>
        <w:t>, then went to</w:t>
      </w:r>
      <w:r w:rsidR="006C481B">
        <w:t xml:space="preserve"> CS PLMN</w:t>
      </w:r>
      <w:r w:rsidRPr="006C481B">
        <w:rPr>
          <w:vertAlign w:val="subscript"/>
        </w:rPr>
        <w:t>B</w:t>
      </w:r>
      <w:r>
        <w:t xml:space="preserve"> due to SRVCC and this CS PLMN</w:t>
      </w:r>
      <w:r w:rsidRPr="006C481B">
        <w:rPr>
          <w:vertAlign w:val="subscript"/>
        </w:rPr>
        <w:t>B</w:t>
      </w:r>
      <w:r>
        <w:t xml:space="preserve"> now wants to perform rSRVCC back to LTE but it has a choice between LTE PLMN</w:t>
      </w:r>
      <w:r w:rsidRPr="006C481B">
        <w:rPr>
          <w:vertAlign w:val="subscript"/>
        </w:rPr>
        <w:t>A</w:t>
      </w:r>
      <w:r>
        <w:t xml:space="preserve"> or LTE PLMN</w:t>
      </w:r>
      <w:r w:rsidRPr="006C481B">
        <w:rPr>
          <w:vertAlign w:val="subscript"/>
        </w:rPr>
        <w:t>C</w:t>
      </w:r>
      <w:r>
        <w:t xml:space="preserve">. This Anchor PLMN information can help the CS PLMN to select LTE PLMN-A for hand-back. </w:t>
      </w:r>
    </w:p>
    <w:p w:rsidR="00D37189" w:rsidRDefault="00D37189" w:rsidP="00D37189">
      <w:r>
        <w:t>The reason why this is important is because the PS network which provides the IP address is also the network which performs the local P-CSCF selection and further points to control entity (i.e</w:t>
      </w:r>
      <w:r w:rsidR="006C481B">
        <w:t>.</w:t>
      </w:r>
      <w:r>
        <w:t xml:space="preserve">, ATCF) and media (ATGW) anchoring to allow rSRVCC. So when UE comes back to PS domain due to rSRVCC, it should come back to this network. Hence, the Anchor PLMN is pointing to PS domain </w:t>
      </w:r>
      <w:r w:rsidR="001B0A24">
        <w:t xml:space="preserve">that provides the IP address to the UE </w:t>
      </w:r>
      <w:r>
        <w:t>and not the core network operator of the CS.</w:t>
      </w:r>
    </w:p>
    <w:p w:rsidR="001B0A24" w:rsidRPr="00D37189" w:rsidRDefault="001B0A24" w:rsidP="00D37189"/>
    <w:p w:rsidR="00662EAC" w:rsidRDefault="00D37189" w:rsidP="00B90C87">
      <w:pPr>
        <w:pStyle w:val="Heading1"/>
      </w:pPr>
      <w:r>
        <w:lastRenderedPageBreak/>
        <w:t>3</w:t>
      </w:r>
      <w:r>
        <w:tab/>
        <w:t>Changes needed in RAN3</w:t>
      </w:r>
    </w:p>
    <w:p w:rsidR="006C481B" w:rsidRDefault="006C481B" w:rsidP="00D37189">
      <w:r>
        <w:t>As explained in Section 1 above, once the MSC server has been provided with the Anchor PLMN I</w:t>
      </w:r>
      <w:r w:rsidR="003A2D64">
        <w:t>dentity</w:t>
      </w:r>
      <w:r>
        <w:t xml:space="preserve"> it needs to forward it to the RNC. Therefore a first change </w:t>
      </w:r>
      <w:r w:rsidR="00834602">
        <w:t xml:space="preserve">vs. TS 25.413 [5] </w:t>
      </w:r>
      <w:r>
        <w:t>is necessary:</w:t>
      </w:r>
    </w:p>
    <w:p w:rsidR="00D37189" w:rsidRPr="006C481B" w:rsidRDefault="006C481B" w:rsidP="006C481B">
      <w:pPr>
        <w:ind w:left="284"/>
        <w:rPr>
          <w:b/>
        </w:rPr>
      </w:pPr>
      <w:r w:rsidRPr="006C481B">
        <w:rPr>
          <w:b/>
        </w:rPr>
        <w:t xml:space="preserve">Change #1: </w:t>
      </w:r>
      <w:r w:rsidRPr="006C481B">
        <w:t xml:space="preserve">to add a new </w:t>
      </w:r>
      <w:r w:rsidRPr="006C481B">
        <w:rPr>
          <w:i/>
        </w:rPr>
        <w:t>Anchor PLMN I</w:t>
      </w:r>
      <w:r w:rsidR="003A2D64">
        <w:rPr>
          <w:i/>
        </w:rPr>
        <w:t>dentity</w:t>
      </w:r>
      <w:r w:rsidRPr="006C481B">
        <w:t xml:space="preserve"> IE to the RELOCATION REQUEST message sent to the (target) RNC.</w:t>
      </w:r>
    </w:p>
    <w:p w:rsidR="006C481B" w:rsidRPr="00AE4FF0" w:rsidRDefault="006C481B" w:rsidP="00D37189">
      <w:r w:rsidRPr="00AE4FF0">
        <w:t>The RNC will then use the Anchor PLMN ID during rSRVCC, as described above.</w:t>
      </w:r>
    </w:p>
    <w:p w:rsidR="006C481B" w:rsidRPr="00AE4FF0" w:rsidRDefault="006C481B" w:rsidP="00D37189">
      <w:r w:rsidRPr="00AE4FF0">
        <w:t xml:space="preserve">In addition, if we consider subsequent inter-RNC intra-MSC </w:t>
      </w:r>
      <w:r w:rsidR="003A2D64">
        <w:t xml:space="preserve">UE </w:t>
      </w:r>
      <w:r w:rsidRPr="00AE4FF0">
        <w:t xml:space="preserve">mobility, the Anchor PLMN </w:t>
      </w:r>
      <w:r w:rsidR="003A2D64" w:rsidRPr="00AE4FF0">
        <w:t>I</w:t>
      </w:r>
      <w:r w:rsidR="003A2D64">
        <w:t>dentity</w:t>
      </w:r>
      <w:r w:rsidR="003A2D64" w:rsidRPr="00AE4FF0">
        <w:t xml:space="preserve"> </w:t>
      </w:r>
      <w:r w:rsidRPr="00AE4FF0">
        <w:t>needs to be forwarded to the new (target) RNC</w:t>
      </w:r>
      <w:r w:rsidR="00834602" w:rsidRPr="00AE4FF0">
        <w:t>. In particular, if UE mobility is executed by means of Enhanced Relocation, a second change vs. TS 25.413 [5] is necessary:</w:t>
      </w:r>
    </w:p>
    <w:p w:rsidR="00834602" w:rsidRPr="006C481B" w:rsidRDefault="00834602" w:rsidP="00834602">
      <w:pPr>
        <w:ind w:left="284"/>
        <w:rPr>
          <w:i/>
        </w:rPr>
      </w:pPr>
      <w:r w:rsidRPr="00AE4FF0">
        <w:rPr>
          <w:b/>
        </w:rPr>
        <w:t>Change #2:</w:t>
      </w:r>
      <w:r w:rsidRPr="00AE4FF0">
        <w:t xml:space="preserve"> to add a new </w:t>
      </w:r>
      <w:r w:rsidRPr="00AE4FF0">
        <w:rPr>
          <w:i/>
        </w:rPr>
        <w:t>Anchor PLMN I</w:t>
      </w:r>
      <w:r w:rsidR="003A2D64">
        <w:rPr>
          <w:i/>
        </w:rPr>
        <w:t>dentity</w:t>
      </w:r>
      <w:r w:rsidRPr="00AE4FF0">
        <w:t xml:space="preserve"> IE in the RANAP ENHANCED RELOCATION INFORMATION REQUEST message.</w:t>
      </w:r>
    </w:p>
    <w:p w:rsidR="0034111C" w:rsidRDefault="00D37189">
      <w:pPr>
        <w:pStyle w:val="Heading1"/>
      </w:pPr>
      <w:r>
        <w:t>4</w:t>
      </w:r>
      <w:r w:rsidR="0034111C" w:rsidRPr="007B7496">
        <w:tab/>
      </w:r>
      <w:r w:rsidR="00EE7FA7" w:rsidRPr="007B7496">
        <w:t>Conclusion</w:t>
      </w:r>
      <w:r w:rsidR="006E1658">
        <w:t xml:space="preserve"> and Proposal</w:t>
      </w:r>
    </w:p>
    <w:p w:rsidR="00834602" w:rsidRDefault="00834602" w:rsidP="00834602">
      <w:r>
        <w:t>This discussion paper described the changes introduced by SA2 [1] and CT4 [3] in order to support network sharing in case of rSRVCC</w:t>
      </w:r>
      <w:r w:rsidR="00321490">
        <w:t>. Section 2 describes the scenario addressed by SA2 and CT4 while Section 3 described the changes that are necessary in RAN3 in order to align TS 25.413 [5]:</w:t>
      </w:r>
    </w:p>
    <w:p w:rsidR="00321490" w:rsidRPr="006C481B" w:rsidRDefault="00321490" w:rsidP="00321490">
      <w:pPr>
        <w:ind w:left="284"/>
        <w:rPr>
          <w:b/>
        </w:rPr>
      </w:pPr>
      <w:r w:rsidRPr="006C481B">
        <w:rPr>
          <w:b/>
        </w:rPr>
        <w:t xml:space="preserve">Change #1: </w:t>
      </w:r>
      <w:r w:rsidRPr="006C481B">
        <w:t xml:space="preserve">to add a new </w:t>
      </w:r>
      <w:r w:rsidRPr="006C481B">
        <w:rPr>
          <w:i/>
        </w:rPr>
        <w:t>Anchor PLMN I</w:t>
      </w:r>
      <w:r w:rsidR="003A2D64">
        <w:rPr>
          <w:i/>
        </w:rPr>
        <w:t>dentity</w:t>
      </w:r>
      <w:r w:rsidRPr="006C481B">
        <w:t xml:space="preserve"> IE to the RELOCATION REQUEST m</w:t>
      </w:r>
      <w:r>
        <w:t>essage sent to the (target) RNC;</w:t>
      </w:r>
    </w:p>
    <w:p w:rsidR="00321490" w:rsidRPr="006C481B" w:rsidRDefault="00321490" w:rsidP="00321490">
      <w:pPr>
        <w:ind w:left="284"/>
        <w:rPr>
          <w:i/>
        </w:rPr>
      </w:pPr>
      <w:r w:rsidRPr="00834602">
        <w:rPr>
          <w:b/>
        </w:rPr>
        <w:t>Change #2:</w:t>
      </w:r>
      <w:r>
        <w:t xml:space="preserve"> to a</w:t>
      </w:r>
      <w:r w:rsidRPr="00834602">
        <w:t>dd</w:t>
      </w:r>
      <w:r>
        <w:t xml:space="preserve"> a new </w:t>
      </w:r>
      <w:r w:rsidRPr="00834602">
        <w:rPr>
          <w:i/>
        </w:rPr>
        <w:t xml:space="preserve">Anchor PLMN </w:t>
      </w:r>
      <w:r>
        <w:rPr>
          <w:i/>
        </w:rPr>
        <w:t>I</w:t>
      </w:r>
      <w:r w:rsidR="003A2D64">
        <w:rPr>
          <w:i/>
        </w:rPr>
        <w:t>dentity</w:t>
      </w:r>
      <w:r>
        <w:t xml:space="preserve"> IE </w:t>
      </w:r>
      <w:r w:rsidRPr="00834602">
        <w:t xml:space="preserve">in the </w:t>
      </w:r>
      <w:r>
        <w:t>RANAP</w:t>
      </w:r>
      <w:r w:rsidRPr="00834602">
        <w:t xml:space="preserve"> ENHANCED RELOCATION INFORMATION REQUEST message</w:t>
      </w:r>
      <w:r>
        <w:t>.</w:t>
      </w:r>
    </w:p>
    <w:p w:rsidR="00321490" w:rsidRDefault="00321490" w:rsidP="00834602">
      <w:r>
        <w:t>It is therefore proposed the following:</w:t>
      </w:r>
    </w:p>
    <w:p w:rsidR="00321490" w:rsidRPr="00321490" w:rsidRDefault="00321490" w:rsidP="00321490">
      <w:pPr>
        <w:ind w:firstLine="284"/>
      </w:pPr>
      <w:r w:rsidRPr="00321490">
        <w:rPr>
          <w:b/>
        </w:rPr>
        <w:t>Proposal:</w:t>
      </w:r>
      <w:r>
        <w:t xml:space="preserve"> to agree on the CR in </w:t>
      </w:r>
      <w:r w:rsidR="00FE0538" w:rsidRPr="00FE0538">
        <w:t>R3-122274</w:t>
      </w:r>
      <w:r>
        <w:t xml:space="preserve"> [6] including change #1 and change #2 above.</w:t>
      </w:r>
    </w:p>
    <w:p w:rsidR="005C567F" w:rsidRDefault="005C567F" w:rsidP="005C567F">
      <w:pPr>
        <w:pStyle w:val="Heading1"/>
      </w:pPr>
      <w:r>
        <w:t>5</w:t>
      </w:r>
      <w:r>
        <w:tab/>
        <w:t>Acronyms</w:t>
      </w:r>
    </w:p>
    <w:p w:rsidR="005C567F" w:rsidRDefault="005C567F" w:rsidP="005C567F">
      <w:r>
        <w:t>ATCF</w:t>
      </w:r>
      <w:r>
        <w:tab/>
      </w:r>
      <w:r>
        <w:tab/>
      </w:r>
      <w:r w:rsidRPr="005C567F">
        <w:t>Access Transfer Control Function</w:t>
      </w:r>
    </w:p>
    <w:p w:rsidR="005C567F" w:rsidRPr="005C567F" w:rsidRDefault="005C567F" w:rsidP="005C567F">
      <w:pPr>
        <w:rPr>
          <w:lang w:val="en-US"/>
        </w:rPr>
      </w:pPr>
      <w:r>
        <w:rPr>
          <w:lang w:val="en-US"/>
        </w:rPr>
        <w:t>ATGW</w:t>
      </w:r>
      <w:r>
        <w:rPr>
          <w:lang w:val="en-US"/>
        </w:rPr>
        <w:tab/>
      </w:r>
      <w:r w:rsidRPr="005C567F">
        <w:rPr>
          <w:lang w:val="en-US"/>
        </w:rPr>
        <w:t>Access Transfer Gateway</w:t>
      </w:r>
    </w:p>
    <w:p w:rsidR="005C567F" w:rsidRDefault="005C567F" w:rsidP="005C567F">
      <w:r>
        <w:t>GWCN</w:t>
      </w:r>
      <w:r>
        <w:tab/>
        <w:t>Gatew</w:t>
      </w:r>
      <w:r w:rsidRPr="005C567F">
        <w:t>ay Core Network</w:t>
      </w:r>
    </w:p>
    <w:p w:rsidR="005C567F" w:rsidRPr="005C567F" w:rsidRDefault="005C567F" w:rsidP="005C567F">
      <w:proofErr w:type="gramStart"/>
      <w:r>
        <w:t>rSRVCC</w:t>
      </w:r>
      <w:proofErr w:type="gramEnd"/>
      <w:r>
        <w:t xml:space="preserve"> </w:t>
      </w:r>
      <w:r>
        <w:tab/>
        <w:t>reverse SRVCC (aka, SRVCC CS to PS)</w:t>
      </w:r>
    </w:p>
    <w:p w:rsidR="005C567F" w:rsidRDefault="005C567F" w:rsidP="005C567F">
      <w:r>
        <w:t>SRVCC</w:t>
      </w:r>
      <w:r>
        <w:tab/>
        <w:t>Single Radio Voice Call Continuity (aka, SRVCC PS to CS)</w:t>
      </w:r>
    </w:p>
    <w:p w:rsidR="0034111C" w:rsidRPr="007B7496" w:rsidRDefault="005C567F">
      <w:pPr>
        <w:pStyle w:val="Heading1"/>
      </w:pPr>
      <w:r>
        <w:t>6</w:t>
      </w:r>
      <w:r>
        <w:tab/>
      </w:r>
      <w:r w:rsidR="0034111C" w:rsidRPr="007B7496">
        <w:t>References</w:t>
      </w:r>
    </w:p>
    <w:p w:rsidR="00241416" w:rsidRDefault="00241416">
      <w:r>
        <w:t xml:space="preserve">[1] </w:t>
      </w:r>
      <w:r w:rsidR="00D37189">
        <w:t>S2-123397</w:t>
      </w:r>
      <w:r>
        <w:t xml:space="preserve">, </w:t>
      </w:r>
      <w:r w:rsidR="00D37189" w:rsidRPr="00D37189">
        <w:rPr>
          <w:i/>
          <w:noProof/>
        </w:rPr>
        <w:t>Network Sharing Corrections following review of GWCN UTRAN</w:t>
      </w:r>
      <w:r>
        <w:t>, CR</w:t>
      </w:r>
      <w:r w:rsidR="00D37189">
        <w:t xml:space="preserve"> vs. TS 23.251</w:t>
      </w:r>
      <w:r>
        <w:t xml:space="preserve">, </w:t>
      </w:r>
      <w:r w:rsidR="00D37189">
        <w:t>Vodafone, SA2#92</w:t>
      </w:r>
    </w:p>
    <w:p w:rsidR="00D37189" w:rsidRDefault="00D37189" w:rsidP="00D37189">
      <w:r>
        <w:t xml:space="preserve">[2] TS 23.251, </w:t>
      </w:r>
      <w:r w:rsidRPr="00D37189">
        <w:rPr>
          <w:i/>
        </w:rPr>
        <w:t>Network Sharing; Architecture and functional description</w:t>
      </w:r>
    </w:p>
    <w:p w:rsidR="00D37189" w:rsidRDefault="00D37189" w:rsidP="00D37189">
      <w:pPr>
        <w:rPr>
          <w:noProof/>
        </w:rPr>
      </w:pPr>
      <w:r>
        <w:t xml:space="preserve">[3] C4-121728, </w:t>
      </w:r>
      <w:r w:rsidRPr="00D37189">
        <w:rPr>
          <w:i/>
        </w:rPr>
        <w:t>Anchor PLMN in SRVCC PS to CS Request</w:t>
      </w:r>
      <w:r>
        <w:t xml:space="preserve">, CR vs. TS 29.280, </w:t>
      </w:r>
      <w:r>
        <w:rPr>
          <w:noProof/>
        </w:rPr>
        <w:t>Nokia Siemens Networks, Huawei, CT4#58</w:t>
      </w:r>
    </w:p>
    <w:p w:rsidR="005C567F" w:rsidRDefault="00D37189" w:rsidP="00D37189">
      <w:r>
        <w:t>[4]</w:t>
      </w:r>
      <w:r>
        <w:tab/>
        <w:t xml:space="preserve">TS 29.280, </w:t>
      </w:r>
      <w:r w:rsidRPr="00D37189">
        <w:rPr>
          <w:i/>
        </w:rPr>
        <w:t xml:space="preserve">Evolved Packet System (EPS); 3GPP </w:t>
      </w:r>
      <w:proofErr w:type="spellStart"/>
      <w:r w:rsidRPr="00D37189">
        <w:rPr>
          <w:i/>
        </w:rPr>
        <w:t>Sv</w:t>
      </w:r>
      <w:proofErr w:type="spellEnd"/>
      <w:r w:rsidRPr="00D37189">
        <w:rPr>
          <w:i/>
        </w:rPr>
        <w:t xml:space="preserve"> interface (MME to MSC, and SGSN to MSC) for SRVCC</w:t>
      </w:r>
    </w:p>
    <w:p w:rsidR="00834602" w:rsidRDefault="005C567F" w:rsidP="00D37189">
      <w:r>
        <w:t xml:space="preserve">[5] </w:t>
      </w:r>
      <w:r w:rsidR="00834602">
        <w:t xml:space="preserve">TS 25.413, </w:t>
      </w:r>
      <w:r w:rsidR="00834602" w:rsidRPr="00834602">
        <w:rPr>
          <w:i/>
        </w:rPr>
        <w:t xml:space="preserve">UTRAN </w:t>
      </w:r>
      <w:proofErr w:type="gramStart"/>
      <w:r w:rsidR="00834602" w:rsidRPr="00834602">
        <w:rPr>
          <w:i/>
        </w:rPr>
        <w:t>Iu</w:t>
      </w:r>
      <w:proofErr w:type="gramEnd"/>
      <w:r w:rsidR="00834602" w:rsidRPr="00834602">
        <w:rPr>
          <w:i/>
        </w:rPr>
        <w:t xml:space="preserve"> interface Radio Access Network Application Part (RANAP) signalling</w:t>
      </w:r>
    </w:p>
    <w:p w:rsidR="005C567F" w:rsidRPr="005C567F" w:rsidRDefault="00834602" w:rsidP="00D37189">
      <w:r w:rsidRPr="00FE0538">
        <w:t>[6]</w:t>
      </w:r>
      <w:r w:rsidRPr="00FE0538">
        <w:tab/>
      </w:r>
      <w:r w:rsidR="00FE0538" w:rsidRPr="00FE0538">
        <w:t>R3-122274</w:t>
      </w:r>
      <w:r w:rsidR="00833757">
        <w:t>, Introduction</w:t>
      </w:r>
      <w:r w:rsidR="005C567F" w:rsidRPr="005C567F">
        <w:rPr>
          <w:i/>
          <w:noProof/>
        </w:rPr>
        <w:t xml:space="preserve"> of rSRVCC network sharing support</w:t>
      </w:r>
      <w:r w:rsidR="005C567F">
        <w:rPr>
          <w:noProof/>
        </w:rPr>
        <w:t>, CR vs. TS 25.413, Nokia Siemens Networks, RAN3#77bis</w:t>
      </w:r>
    </w:p>
    <w:sectPr w:rsidR="005C567F" w:rsidRPr="005C567F" w:rsidSect="0072045B">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8C7" w:rsidRDefault="004508C7">
      <w:r>
        <w:separator/>
      </w:r>
    </w:p>
  </w:endnote>
  <w:endnote w:type="continuationSeparator" w:id="0">
    <w:p w:rsidR="004508C7" w:rsidRDefault="004508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8C7" w:rsidRDefault="004508C7">
      <w:r>
        <w:separator/>
      </w:r>
    </w:p>
  </w:footnote>
  <w:footnote w:type="continuationSeparator" w:id="0">
    <w:p w:rsidR="004508C7" w:rsidRDefault="004508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83A3F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1F822032"/>
    <w:lvl w:ilvl="0">
      <w:numFmt w:val="decimal"/>
      <w:lvlText w:val="*"/>
      <w:lvlJc w:val="left"/>
    </w:lvl>
  </w:abstractNum>
  <w:abstractNum w:abstractNumId="2">
    <w:nsid w:val="0D093E76"/>
    <w:multiLevelType w:val="hybridMultilevel"/>
    <w:tmpl w:val="88ACB8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42164A"/>
    <w:multiLevelType w:val="singleLevel"/>
    <w:tmpl w:val="96665D84"/>
    <w:lvl w:ilvl="0">
      <w:start w:val="1"/>
      <w:numFmt w:val="decimal"/>
      <w:lvlText w:val="%1)"/>
      <w:legacy w:legacy="1" w:legacySpace="0" w:legacyIndent="283"/>
      <w:lvlJc w:val="left"/>
      <w:pPr>
        <w:ind w:left="850" w:hanging="283"/>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F055E"/>
    <w:multiLevelType w:val="singleLevel"/>
    <w:tmpl w:val="96665D84"/>
    <w:lvl w:ilvl="0">
      <w:start w:val="1"/>
      <w:numFmt w:val="decimal"/>
      <w:lvlText w:val="%1)"/>
      <w:legacy w:legacy="1" w:legacySpace="0" w:legacyIndent="283"/>
      <w:lvlJc w:val="left"/>
      <w:pPr>
        <w:ind w:left="850" w:hanging="283"/>
      </w:pPr>
    </w:lvl>
  </w:abstractNum>
  <w:abstractNum w:abstractNumId="15">
    <w:nsid w:val="3B9A3C2A"/>
    <w:multiLevelType w:val="singleLevel"/>
    <w:tmpl w:val="96665D84"/>
    <w:lvl w:ilvl="0">
      <w:start w:val="1"/>
      <w:numFmt w:val="decimal"/>
      <w:lvlText w:val="%1)"/>
      <w:legacy w:legacy="1" w:legacySpace="0" w:legacyIndent="283"/>
      <w:lvlJc w:val="left"/>
      <w:pPr>
        <w:ind w:left="850" w:hanging="283"/>
      </w:pPr>
    </w:lvl>
  </w:abstractNum>
  <w:abstractNum w:abstractNumId="16">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31C53BC"/>
    <w:multiLevelType w:val="singleLevel"/>
    <w:tmpl w:val="0C09000F"/>
    <w:lvl w:ilvl="0">
      <w:start w:val="1"/>
      <w:numFmt w:val="decimal"/>
      <w:lvlText w:val="%1."/>
      <w:lvlJc w:val="left"/>
      <w:pPr>
        <w:tabs>
          <w:tab w:val="num" w:pos="360"/>
        </w:tabs>
        <w:ind w:left="360" w:hanging="360"/>
      </w:pPr>
    </w:lvl>
  </w:abstractNum>
  <w:abstractNum w:abstractNumId="19">
    <w:nsid w:val="47735013"/>
    <w:multiLevelType w:val="singleLevel"/>
    <w:tmpl w:val="96665D84"/>
    <w:lvl w:ilvl="0">
      <w:start w:val="1"/>
      <w:numFmt w:val="decimal"/>
      <w:lvlText w:val="%1)"/>
      <w:legacy w:legacy="1" w:legacySpace="0" w:legacyIndent="283"/>
      <w:lvlJc w:val="left"/>
      <w:pPr>
        <w:ind w:left="850" w:hanging="283"/>
      </w:pPr>
    </w:lvl>
  </w:abstractNum>
  <w:abstractNum w:abstractNumId="20">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16"/>
  </w:num>
  <w:num w:numId="4">
    <w:abstractNumId w:val="10"/>
  </w:num>
  <w:num w:numId="5">
    <w:abstractNumId w:val="21"/>
  </w:num>
  <w:num w:numId="6">
    <w:abstractNumId w:val="8"/>
  </w:num>
  <w:num w:numId="7">
    <w:abstractNumId w:val="20"/>
  </w:num>
  <w:num w:numId="8">
    <w:abstractNumId w:val="3"/>
  </w:num>
  <w:num w:numId="9">
    <w:abstractNumId w:val="25"/>
  </w:num>
  <w:num w:numId="10">
    <w:abstractNumId w:val="5"/>
  </w:num>
  <w:num w:numId="11">
    <w:abstractNumId w:val="9"/>
  </w:num>
  <w:num w:numId="12">
    <w:abstractNumId w:val="13"/>
  </w:num>
  <w:num w:numId="13">
    <w:abstractNumId w:val="15"/>
  </w:num>
  <w:num w:numId="14">
    <w:abstractNumId w:val="22"/>
  </w:num>
  <w:num w:numId="15">
    <w:abstractNumId w:val="1"/>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4"/>
  </w:num>
  <w:num w:numId="17">
    <w:abstractNumId w:val="11"/>
  </w:num>
  <w:num w:numId="18">
    <w:abstractNumId w:val="24"/>
  </w:num>
  <w:num w:numId="19">
    <w:abstractNumId w:val="19"/>
  </w:num>
  <w:num w:numId="20">
    <w:abstractNumId w:val="18"/>
  </w:num>
  <w:num w:numId="21">
    <w:abstractNumId w:val="4"/>
  </w:num>
  <w:num w:numId="22">
    <w:abstractNumId w:val="6"/>
  </w:num>
  <w:num w:numId="23">
    <w:abstractNumId w:val="23"/>
  </w:num>
  <w:num w:numId="24">
    <w:abstractNumId w:val="7"/>
  </w:num>
  <w:num w:numId="25">
    <w:abstractNumId w:val="2"/>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74C4"/>
    <w:rsid w:val="00017EDA"/>
    <w:rsid w:val="000511F9"/>
    <w:rsid w:val="000528A2"/>
    <w:rsid w:val="00056544"/>
    <w:rsid w:val="00060390"/>
    <w:rsid w:val="00063D9E"/>
    <w:rsid w:val="00064AD3"/>
    <w:rsid w:val="00083A59"/>
    <w:rsid w:val="000A20BA"/>
    <w:rsid w:val="000C7451"/>
    <w:rsid w:val="00101167"/>
    <w:rsid w:val="0011334D"/>
    <w:rsid w:val="00123730"/>
    <w:rsid w:val="001260C5"/>
    <w:rsid w:val="00130977"/>
    <w:rsid w:val="00137D78"/>
    <w:rsid w:val="001639CF"/>
    <w:rsid w:val="00164B68"/>
    <w:rsid w:val="00165033"/>
    <w:rsid w:val="001670EA"/>
    <w:rsid w:val="001674A0"/>
    <w:rsid w:val="0017726A"/>
    <w:rsid w:val="001777D2"/>
    <w:rsid w:val="00187A5A"/>
    <w:rsid w:val="001B0A24"/>
    <w:rsid w:val="001E7B93"/>
    <w:rsid w:val="001F0658"/>
    <w:rsid w:val="001F5019"/>
    <w:rsid w:val="00204B3A"/>
    <w:rsid w:val="002149AF"/>
    <w:rsid w:val="00222A7A"/>
    <w:rsid w:val="00224A2C"/>
    <w:rsid w:val="002312F4"/>
    <w:rsid w:val="00231FC7"/>
    <w:rsid w:val="00241416"/>
    <w:rsid w:val="0024336B"/>
    <w:rsid w:val="00252C17"/>
    <w:rsid w:val="002530C5"/>
    <w:rsid w:val="00256482"/>
    <w:rsid w:val="00285510"/>
    <w:rsid w:val="002A352A"/>
    <w:rsid w:val="002B132E"/>
    <w:rsid w:val="002B2813"/>
    <w:rsid w:val="002D365F"/>
    <w:rsid w:val="002F72DA"/>
    <w:rsid w:val="003048D7"/>
    <w:rsid w:val="003071F6"/>
    <w:rsid w:val="003122B4"/>
    <w:rsid w:val="00313CB0"/>
    <w:rsid w:val="00313F96"/>
    <w:rsid w:val="00321490"/>
    <w:rsid w:val="003219B0"/>
    <w:rsid w:val="00325D7A"/>
    <w:rsid w:val="003341AD"/>
    <w:rsid w:val="0034111C"/>
    <w:rsid w:val="00352D21"/>
    <w:rsid w:val="00357B9C"/>
    <w:rsid w:val="003642A6"/>
    <w:rsid w:val="0037751C"/>
    <w:rsid w:val="00393602"/>
    <w:rsid w:val="003A2D64"/>
    <w:rsid w:val="003A597F"/>
    <w:rsid w:val="003B030B"/>
    <w:rsid w:val="003B5F27"/>
    <w:rsid w:val="003C5455"/>
    <w:rsid w:val="003D402B"/>
    <w:rsid w:val="00406A8B"/>
    <w:rsid w:val="004176FF"/>
    <w:rsid w:val="00424FA7"/>
    <w:rsid w:val="00432110"/>
    <w:rsid w:val="004447FF"/>
    <w:rsid w:val="00445FF7"/>
    <w:rsid w:val="004508C7"/>
    <w:rsid w:val="00453341"/>
    <w:rsid w:val="004567B7"/>
    <w:rsid w:val="00461210"/>
    <w:rsid w:val="00483261"/>
    <w:rsid w:val="0048486A"/>
    <w:rsid w:val="0049735E"/>
    <w:rsid w:val="004B74FF"/>
    <w:rsid w:val="004C005F"/>
    <w:rsid w:val="004C795A"/>
    <w:rsid w:val="004F0DB4"/>
    <w:rsid w:val="004F5136"/>
    <w:rsid w:val="004F5835"/>
    <w:rsid w:val="00506A2E"/>
    <w:rsid w:val="00511079"/>
    <w:rsid w:val="0051423C"/>
    <w:rsid w:val="005168EC"/>
    <w:rsid w:val="00516FD9"/>
    <w:rsid w:val="005530E0"/>
    <w:rsid w:val="0058663C"/>
    <w:rsid w:val="005A6429"/>
    <w:rsid w:val="005B3FE6"/>
    <w:rsid w:val="005C567F"/>
    <w:rsid w:val="00605E93"/>
    <w:rsid w:val="00614CD1"/>
    <w:rsid w:val="006345C3"/>
    <w:rsid w:val="00662EAC"/>
    <w:rsid w:val="00666F6F"/>
    <w:rsid w:val="00677925"/>
    <w:rsid w:val="00682F27"/>
    <w:rsid w:val="006A3A12"/>
    <w:rsid w:val="006C481B"/>
    <w:rsid w:val="006C5429"/>
    <w:rsid w:val="006D7229"/>
    <w:rsid w:val="006E13D1"/>
    <w:rsid w:val="006E1658"/>
    <w:rsid w:val="006E6BA3"/>
    <w:rsid w:val="00711E13"/>
    <w:rsid w:val="00712EDA"/>
    <w:rsid w:val="007160C7"/>
    <w:rsid w:val="0071705B"/>
    <w:rsid w:val="0072045B"/>
    <w:rsid w:val="0072244A"/>
    <w:rsid w:val="00737DAC"/>
    <w:rsid w:val="00746BB6"/>
    <w:rsid w:val="00756832"/>
    <w:rsid w:val="0077548E"/>
    <w:rsid w:val="0078457B"/>
    <w:rsid w:val="00787051"/>
    <w:rsid w:val="007B7496"/>
    <w:rsid w:val="007C2739"/>
    <w:rsid w:val="007D082A"/>
    <w:rsid w:val="007D0C44"/>
    <w:rsid w:val="0080153E"/>
    <w:rsid w:val="0080346F"/>
    <w:rsid w:val="00821698"/>
    <w:rsid w:val="00824276"/>
    <w:rsid w:val="00826DD9"/>
    <w:rsid w:val="008278B6"/>
    <w:rsid w:val="00833757"/>
    <w:rsid w:val="00834602"/>
    <w:rsid w:val="008353FC"/>
    <w:rsid w:val="00854553"/>
    <w:rsid w:val="00867623"/>
    <w:rsid w:val="008743F3"/>
    <w:rsid w:val="0087444A"/>
    <w:rsid w:val="00875139"/>
    <w:rsid w:val="00875410"/>
    <w:rsid w:val="008802AD"/>
    <w:rsid w:val="008A23BA"/>
    <w:rsid w:val="008B5290"/>
    <w:rsid w:val="008E0F52"/>
    <w:rsid w:val="008E4721"/>
    <w:rsid w:val="009073B1"/>
    <w:rsid w:val="00915B81"/>
    <w:rsid w:val="00917004"/>
    <w:rsid w:val="00931F98"/>
    <w:rsid w:val="00933420"/>
    <w:rsid w:val="0093636F"/>
    <w:rsid w:val="00985EF7"/>
    <w:rsid w:val="009921B7"/>
    <w:rsid w:val="00992CD2"/>
    <w:rsid w:val="009978D7"/>
    <w:rsid w:val="009C2DD2"/>
    <w:rsid w:val="009C51D5"/>
    <w:rsid w:val="009D64F5"/>
    <w:rsid w:val="009E2A7E"/>
    <w:rsid w:val="009E5AF5"/>
    <w:rsid w:val="009F4D6C"/>
    <w:rsid w:val="009F7D66"/>
    <w:rsid w:val="00A108F2"/>
    <w:rsid w:val="00A25F05"/>
    <w:rsid w:val="00A5259A"/>
    <w:rsid w:val="00A7524D"/>
    <w:rsid w:val="00A86661"/>
    <w:rsid w:val="00A938E6"/>
    <w:rsid w:val="00AA06A2"/>
    <w:rsid w:val="00AC02C1"/>
    <w:rsid w:val="00AC05D5"/>
    <w:rsid w:val="00AC0AB6"/>
    <w:rsid w:val="00AC23C2"/>
    <w:rsid w:val="00AD1FD3"/>
    <w:rsid w:val="00AD3237"/>
    <w:rsid w:val="00AD3CAD"/>
    <w:rsid w:val="00AE4FF0"/>
    <w:rsid w:val="00AF3F7B"/>
    <w:rsid w:val="00B04F3D"/>
    <w:rsid w:val="00B1513F"/>
    <w:rsid w:val="00B3000E"/>
    <w:rsid w:val="00B41524"/>
    <w:rsid w:val="00B54D87"/>
    <w:rsid w:val="00B63337"/>
    <w:rsid w:val="00B66ECE"/>
    <w:rsid w:val="00B7267A"/>
    <w:rsid w:val="00B82613"/>
    <w:rsid w:val="00B90C87"/>
    <w:rsid w:val="00B93008"/>
    <w:rsid w:val="00B94E0E"/>
    <w:rsid w:val="00BB3E2B"/>
    <w:rsid w:val="00BD121D"/>
    <w:rsid w:val="00BE02B4"/>
    <w:rsid w:val="00BE367E"/>
    <w:rsid w:val="00BF10BC"/>
    <w:rsid w:val="00C119FB"/>
    <w:rsid w:val="00C43FF0"/>
    <w:rsid w:val="00C54EFA"/>
    <w:rsid w:val="00C93923"/>
    <w:rsid w:val="00C96F79"/>
    <w:rsid w:val="00CA7D63"/>
    <w:rsid w:val="00CB0683"/>
    <w:rsid w:val="00CB09DA"/>
    <w:rsid w:val="00CE6EFA"/>
    <w:rsid w:val="00CF5D28"/>
    <w:rsid w:val="00D064E8"/>
    <w:rsid w:val="00D37189"/>
    <w:rsid w:val="00D47C16"/>
    <w:rsid w:val="00D50C12"/>
    <w:rsid w:val="00D52743"/>
    <w:rsid w:val="00D535BB"/>
    <w:rsid w:val="00D53830"/>
    <w:rsid w:val="00D6137E"/>
    <w:rsid w:val="00D7448C"/>
    <w:rsid w:val="00D752F7"/>
    <w:rsid w:val="00D874DF"/>
    <w:rsid w:val="00D919F9"/>
    <w:rsid w:val="00D9415C"/>
    <w:rsid w:val="00DB3A47"/>
    <w:rsid w:val="00DC09CB"/>
    <w:rsid w:val="00DD229E"/>
    <w:rsid w:val="00DD4991"/>
    <w:rsid w:val="00DD55E0"/>
    <w:rsid w:val="00DE2FD7"/>
    <w:rsid w:val="00DE3078"/>
    <w:rsid w:val="00DE3DBB"/>
    <w:rsid w:val="00DE40E3"/>
    <w:rsid w:val="00E00CFA"/>
    <w:rsid w:val="00E0576C"/>
    <w:rsid w:val="00E81D0D"/>
    <w:rsid w:val="00E85307"/>
    <w:rsid w:val="00E946A6"/>
    <w:rsid w:val="00EA1D43"/>
    <w:rsid w:val="00EC3027"/>
    <w:rsid w:val="00EC40DF"/>
    <w:rsid w:val="00EC47C4"/>
    <w:rsid w:val="00EE76A9"/>
    <w:rsid w:val="00EE7FA7"/>
    <w:rsid w:val="00EF21C3"/>
    <w:rsid w:val="00F44071"/>
    <w:rsid w:val="00F532E8"/>
    <w:rsid w:val="00F537FF"/>
    <w:rsid w:val="00F8449B"/>
    <w:rsid w:val="00F85B47"/>
    <w:rsid w:val="00F94182"/>
    <w:rsid w:val="00FA6E7F"/>
    <w:rsid w:val="00FA7114"/>
    <w:rsid w:val="00FB0B1E"/>
    <w:rsid w:val="00FB2379"/>
    <w:rsid w:val="00FC3AEE"/>
    <w:rsid w:val="00FE002E"/>
    <w:rsid w:val="00FE0538"/>
    <w:rsid w:val="00FF16F2"/>
    <w:rsid w:val="00FF32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762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8676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867623"/>
    <w:pPr>
      <w:pBdr>
        <w:top w:val="none" w:sz="0" w:space="0" w:color="auto"/>
      </w:pBdr>
      <w:spacing w:before="180"/>
      <w:outlineLvl w:val="1"/>
    </w:pPr>
    <w:rPr>
      <w:sz w:val="32"/>
    </w:rPr>
  </w:style>
  <w:style w:type="paragraph" w:styleId="Heading3">
    <w:name w:val="heading 3"/>
    <w:aliases w:val="Heading 3 3GPP"/>
    <w:basedOn w:val="Heading2"/>
    <w:next w:val="Normal"/>
    <w:qFormat/>
    <w:rsid w:val="00867623"/>
    <w:pPr>
      <w:spacing w:before="120"/>
      <w:outlineLvl w:val="2"/>
    </w:pPr>
    <w:rPr>
      <w:sz w:val="28"/>
    </w:rPr>
  </w:style>
  <w:style w:type="paragraph" w:styleId="Heading4">
    <w:name w:val="heading 4"/>
    <w:basedOn w:val="Heading3"/>
    <w:next w:val="Normal"/>
    <w:qFormat/>
    <w:rsid w:val="00867623"/>
    <w:pPr>
      <w:ind w:left="1418" w:hanging="1418"/>
      <w:outlineLvl w:val="3"/>
    </w:pPr>
    <w:rPr>
      <w:sz w:val="24"/>
    </w:rPr>
  </w:style>
  <w:style w:type="paragraph" w:styleId="Heading5">
    <w:name w:val="heading 5"/>
    <w:basedOn w:val="Heading4"/>
    <w:next w:val="Normal"/>
    <w:qFormat/>
    <w:rsid w:val="00867623"/>
    <w:pPr>
      <w:ind w:left="1701" w:hanging="1701"/>
      <w:outlineLvl w:val="4"/>
    </w:pPr>
    <w:rPr>
      <w:sz w:val="22"/>
    </w:rPr>
  </w:style>
  <w:style w:type="paragraph" w:styleId="Heading6">
    <w:name w:val="heading 6"/>
    <w:basedOn w:val="H6"/>
    <w:next w:val="Normal"/>
    <w:qFormat/>
    <w:rsid w:val="00867623"/>
    <w:pPr>
      <w:outlineLvl w:val="5"/>
    </w:pPr>
  </w:style>
  <w:style w:type="paragraph" w:styleId="Heading7">
    <w:name w:val="heading 7"/>
    <w:basedOn w:val="H6"/>
    <w:next w:val="Normal"/>
    <w:qFormat/>
    <w:rsid w:val="00867623"/>
    <w:pPr>
      <w:outlineLvl w:val="6"/>
    </w:pPr>
  </w:style>
  <w:style w:type="paragraph" w:styleId="Heading8">
    <w:name w:val="heading 8"/>
    <w:basedOn w:val="Heading1"/>
    <w:next w:val="Normal"/>
    <w:qFormat/>
    <w:rsid w:val="00867623"/>
    <w:pPr>
      <w:ind w:left="0" w:firstLine="0"/>
      <w:outlineLvl w:val="7"/>
    </w:pPr>
  </w:style>
  <w:style w:type="paragraph" w:styleId="Heading9">
    <w:name w:val="heading 9"/>
    <w:basedOn w:val="Heading8"/>
    <w:next w:val="Normal"/>
    <w:qFormat/>
    <w:rsid w:val="008676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7623"/>
    <w:pPr>
      <w:ind w:left="1985" w:hanging="1985"/>
      <w:outlineLvl w:val="9"/>
    </w:pPr>
    <w:rPr>
      <w:sz w:val="20"/>
    </w:rPr>
  </w:style>
  <w:style w:type="paragraph" w:styleId="TOC8">
    <w:name w:val="toc 8"/>
    <w:basedOn w:val="TOC1"/>
    <w:semiHidden/>
    <w:rsid w:val="00867623"/>
    <w:pPr>
      <w:spacing w:before="180"/>
      <w:ind w:left="2693" w:hanging="2693"/>
    </w:pPr>
    <w:rPr>
      <w:b/>
    </w:rPr>
  </w:style>
  <w:style w:type="paragraph" w:styleId="TOC1">
    <w:name w:val="toc 1"/>
    <w:semiHidden/>
    <w:rsid w:val="008676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76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67623"/>
    <w:pPr>
      <w:ind w:left="1701" w:hanging="1701"/>
    </w:pPr>
  </w:style>
  <w:style w:type="paragraph" w:styleId="TOC4">
    <w:name w:val="toc 4"/>
    <w:basedOn w:val="TOC3"/>
    <w:semiHidden/>
    <w:rsid w:val="00867623"/>
    <w:pPr>
      <w:ind w:left="1418" w:hanging="1418"/>
    </w:pPr>
  </w:style>
  <w:style w:type="paragraph" w:styleId="TOC3">
    <w:name w:val="toc 3"/>
    <w:basedOn w:val="TOC2"/>
    <w:semiHidden/>
    <w:rsid w:val="00867623"/>
    <w:pPr>
      <w:ind w:left="1134" w:hanging="1134"/>
    </w:pPr>
  </w:style>
  <w:style w:type="paragraph" w:styleId="TOC2">
    <w:name w:val="toc 2"/>
    <w:basedOn w:val="TOC1"/>
    <w:semiHidden/>
    <w:rsid w:val="00867623"/>
    <w:pPr>
      <w:keepNext w:val="0"/>
      <w:spacing w:before="0"/>
      <w:ind w:left="851" w:hanging="851"/>
    </w:pPr>
    <w:rPr>
      <w:sz w:val="20"/>
    </w:rPr>
  </w:style>
  <w:style w:type="paragraph" w:styleId="Index2">
    <w:name w:val="index 2"/>
    <w:basedOn w:val="Index1"/>
    <w:semiHidden/>
    <w:rsid w:val="00867623"/>
    <w:pPr>
      <w:ind w:left="284"/>
    </w:pPr>
  </w:style>
  <w:style w:type="paragraph" w:styleId="Index1">
    <w:name w:val="index 1"/>
    <w:basedOn w:val="Normal"/>
    <w:semiHidden/>
    <w:rsid w:val="00867623"/>
    <w:pPr>
      <w:keepLines/>
      <w:spacing w:after="0"/>
    </w:pPr>
  </w:style>
  <w:style w:type="paragraph" w:customStyle="1" w:styleId="ZH">
    <w:name w:val="ZH"/>
    <w:rsid w:val="008676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7623"/>
    <w:pPr>
      <w:outlineLvl w:val="9"/>
    </w:pPr>
  </w:style>
  <w:style w:type="paragraph" w:styleId="ListNumber2">
    <w:name w:val="List Number 2"/>
    <w:basedOn w:val="ListNumber"/>
    <w:rsid w:val="00867623"/>
    <w:pPr>
      <w:ind w:left="851"/>
    </w:pPr>
  </w:style>
  <w:style w:type="paragraph" w:styleId="ListNumber">
    <w:name w:val="List Number"/>
    <w:basedOn w:val="List"/>
    <w:rsid w:val="00867623"/>
  </w:style>
  <w:style w:type="paragraph" w:styleId="List">
    <w:name w:val="List"/>
    <w:basedOn w:val="Normal"/>
    <w:rsid w:val="00867623"/>
    <w:pPr>
      <w:ind w:left="568" w:hanging="284"/>
    </w:pPr>
  </w:style>
  <w:style w:type="paragraph" w:styleId="Header">
    <w:name w:val="header"/>
    <w:aliases w:val="header odd"/>
    <w:link w:val="HeaderChar"/>
    <w:rsid w:val="0086762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67623"/>
    <w:rPr>
      <w:b/>
      <w:position w:val="6"/>
      <w:sz w:val="16"/>
    </w:rPr>
  </w:style>
  <w:style w:type="paragraph" w:styleId="FootnoteText">
    <w:name w:val="footnote text"/>
    <w:basedOn w:val="Normal"/>
    <w:semiHidden/>
    <w:rsid w:val="00867623"/>
    <w:pPr>
      <w:keepLines/>
      <w:spacing w:after="0"/>
      <w:ind w:left="454" w:hanging="454"/>
    </w:pPr>
    <w:rPr>
      <w:sz w:val="16"/>
    </w:rPr>
  </w:style>
  <w:style w:type="paragraph" w:customStyle="1" w:styleId="TAH">
    <w:name w:val="TAH"/>
    <w:basedOn w:val="TAC"/>
    <w:rsid w:val="00867623"/>
    <w:rPr>
      <w:b/>
    </w:rPr>
  </w:style>
  <w:style w:type="paragraph" w:customStyle="1" w:styleId="TAC">
    <w:name w:val="TAC"/>
    <w:basedOn w:val="TAL"/>
    <w:rsid w:val="00867623"/>
    <w:pPr>
      <w:jc w:val="center"/>
    </w:pPr>
  </w:style>
  <w:style w:type="paragraph" w:customStyle="1" w:styleId="TAL">
    <w:name w:val="TAL"/>
    <w:basedOn w:val="Normal"/>
    <w:rsid w:val="00867623"/>
    <w:pPr>
      <w:keepNext/>
      <w:keepLines/>
      <w:spacing w:after="0"/>
    </w:pPr>
    <w:rPr>
      <w:rFonts w:ascii="Arial" w:hAnsi="Arial"/>
      <w:sz w:val="18"/>
    </w:rPr>
  </w:style>
  <w:style w:type="paragraph" w:customStyle="1" w:styleId="TF">
    <w:name w:val="TF"/>
    <w:basedOn w:val="TH"/>
    <w:rsid w:val="00867623"/>
    <w:pPr>
      <w:keepNext w:val="0"/>
      <w:spacing w:before="0" w:after="240"/>
    </w:pPr>
  </w:style>
  <w:style w:type="paragraph" w:customStyle="1" w:styleId="TH">
    <w:name w:val="TH"/>
    <w:basedOn w:val="Normal"/>
    <w:rsid w:val="00867623"/>
    <w:pPr>
      <w:keepNext/>
      <w:keepLines/>
      <w:spacing w:before="60"/>
      <w:jc w:val="center"/>
    </w:pPr>
    <w:rPr>
      <w:rFonts w:ascii="Arial" w:hAnsi="Arial"/>
      <w:b/>
    </w:rPr>
  </w:style>
  <w:style w:type="paragraph" w:customStyle="1" w:styleId="NO">
    <w:name w:val="NO"/>
    <w:basedOn w:val="Normal"/>
    <w:rsid w:val="00867623"/>
    <w:pPr>
      <w:keepLines/>
      <w:ind w:left="1135" w:hanging="851"/>
    </w:pPr>
  </w:style>
  <w:style w:type="paragraph" w:styleId="TOC9">
    <w:name w:val="toc 9"/>
    <w:basedOn w:val="TOC8"/>
    <w:semiHidden/>
    <w:rsid w:val="00867623"/>
    <w:pPr>
      <w:ind w:left="1418" w:hanging="1418"/>
    </w:pPr>
  </w:style>
  <w:style w:type="paragraph" w:customStyle="1" w:styleId="EX">
    <w:name w:val="EX"/>
    <w:basedOn w:val="Normal"/>
    <w:rsid w:val="00867623"/>
    <w:pPr>
      <w:keepLines/>
      <w:ind w:left="1702" w:hanging="1418"/>
    </w:pPr>
  </w:style>
  <w:style w:type="paragraph" w:customStyle="1" w:styleId="FP">
    <w:name w:val="FP"/>
    <w:basedOn w:val="Normal"/>
    <w:rsid w:val="00867623"/>
    <w:pPr>
      <w:spacing w:after="0"/>
    </w:pPr>
  </w:style>
  <w:style w:type="paragraph" w:customStyle="1" w:styleId="LD">
    <w:name w:val="LD"/>
    <w:rsid w:val="008676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7623"/>
    <w:pPr>
      <w:spacing w:after="0"/>
    </w:pPr>
  </w:style>
  <w:style w:type="paragraph" w:customStyle="1" w:styleId="EW">
    <w:name w:val="EW"/>
    <w:basedOn w:val="EX"/>
    <w:rsid w:val="00867623"/>
    <w:pPr>
      <w:spacing w:after="0"/>
    </w:pPr>
  </w:style>
  <w:style w:type="paragraph" w:styleId="TOC6">
    <w:name w:val="toc 6"/>
    <w:basedOn w:val="TOC5"/>
    <w:next w:val="Normal"/>
    <w:semiHidden/>
    <w:rsid w:val="00867623"/>
    <w:pPr>
      <w:ind w:left="1985" w:hanging="1985"/>
    </w:pPr>
  </w:style>
  <w:style w:type="paragraph" w:styleId="TOC7">
    <w:name w:val="toc 7"/>
    <w:basedOn w:val="TOC6"/>
    <w:next w:val="Normal"/>
    <w:semiHidden/>
    <w:rsid w:val="00867623"/>
    <w:pPr>
      <w:ind w:left="2268" w:hanging="2268"/>
    </w:pPr>
  </w:style>
  <w:style w:type="paragraph" w:styleId="ListBullet2">
    <w:name w:val="List Bullet 2"/>
    <w:basedOn w:val="ListBullet"/>
    <w:rsid w:val="00867623"/>
    <w:pPr>
      <w:ind w:left="851"/>
    </w:pPr>
  </w:style>
  <w:style w:type="paragraph" w:styleId="ListBullet">
    <w:name w:val="List Bullet"/>
    <w:basedOn w:val="List"/>
    <w:rsid w:val="00867623"/>
  </w:style>
  <w:style w:type="paragraph" w:styleId="ListBullet3">
    <w:name w:val="List Bullet 3"/>
    <w:basedOn w:val="ListBullet2"/>
    <w:rsid w:val="00867623"/>
    <w:pPr>
      <w:ind w:left="1135"/>
    </w:pPr>
  </w:style>
  <w:style w:type="paragraph" w:customStyle="1" w:styleId="EQ">
    <w:name w:val="EQ"/>
    <w:basedOn w:val="Normal"/>
    <w:next w:val="Normal"/>
    <w:rsid w:val="00867623"/>
    <w:pPr>
      <w:keepLines/>
      <w:tabs>
        <w:tab w:val="center" w:pos="4536"/>
        <w:tab w:val="right" w:pos="9072"/>
      </w:tabs>
    </w:pPr>
    <w:rPr>
      <w:noProof/>
    </w:rPr>
  </w:style>
  <w:style w:type="paragraph" w:customStyle="1" w:styleId="NF">
    <w:name w:val="NF"/>
    <w:basedOn w:val="NO"/>
    <w:rsid w:val="00867623"/>
    <w:pPr>
      <w:keepNext/>
      <w:spacing w:after="0"/>
    </w:pPr>
    <w:rPr>
      <w:rFonts w:ascii="Arial" w:hAnsi="Arial"/>
      <w:sz w:val="18"/>
    </w:rPr>
  </w:style>
  <w:style w:type="paragraph" w:customStyle="1" w:styleId="PL">
    <w:name w:val="PL"/>
    <w:rsid w:val="00867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7623"/>
    <w:pPr>
      <w:jc w:val="right"/>
    </w:pPr>
  </w:style>
  <w:style w:type="paragraph" w:customStyle="1" w:styleId="TAN">
    <w:name w:val="TAN"/>
    <w:basedOn w:val="TAL"/>
    <w:rsid w:val="00867623"/>
    <w:pPr>
      <w:ind w:left="851" w:hanging="851"/>
    </w:pPr>
  </w:style>
  <w:style w:type="paragraph" w:customStyle="1" w:styleId="ZA">
    <w:name w:val="ZA"/>
    <w:rsid w:val="008676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76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76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76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7623"/>
    <w:pPr>
      <w:framePr w:wrap="notBeside" w:y="16161"/>
    </w:pPr>
  </w:style>
  <w:style w:type="character" w:customStyle="1" w:styleId="ZGSM">
    <w:name w:val="ZGSM"/>
    <w:rsid w:val="00867623"/>
  </w:style>
  <w:style w:type="paragraph" w:styleId="List2">
    <w:name w:val="List 2"/>
    <w:basedOn w:val="List"/>
    <w:rsid w:val="00867623"/>
    <w:pPr>
      <w:ind w:left="851"/>
    </w:pPr>
  </w:style>
  <w:style w:type="paragraph" w:customStyle="1" w:styleId="ZG">
    <w:name w:val="ZG"/>
    <w:rsid w:val="008676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67623"/>
    <w:pPr>
      <w:ind w:left="1135"/>
    </w:pPr>
  </w:style>
  <w:style w:type="paragraph" w:styleId="List4">
    <w:name w:val="List 4"/>
    <w:basedOn w:val="List3"/>
    <w:rsid w:val="00867623"/>
    <w:pPr>
      <w:ind w:left="1418"/>
    </w:pPr>
  </w:style>
  <w:style w:type="paragraph" w:styleId="List5">
    <w:name w:val="List 5"/>
    <w:basedOn w:val="List4"/>
    <w:rsid w:val="00867623"/>
    <w:pPr>
      <w:ind w:left="1702"/>
    </w:pPr>
  </w:style>
  <w:style w:type="paragraph" w:customStyle="1" w:styleId="EditorsNote">
    <w:name w:val="Editor's Note"/>
    <w:basedOn w:val="NO"/>
    <w:rsid w:val="00867623"/>
    <w:rPr>
      <w:color w:val="FF0000"/>
    </w:rPr>
  </w:style>
  <w:style w:type="paragraph" w:styleId="ListBullet4">
    <w:name w:val="List Bullet 4"/>
    <w:basedOn w:val="ListBullet3"/>
    <w:rsid w:val="00867623"/>
    <w:pPr>
      <w:ind w:left="1418"/>
    </w:pPr>
  </w:style>
  <w:style w:type="paragraph" w:styleId="ListBullet5">
    <w:name w:val="List Bullet 5"/>
    <w:basedOn w:val="ListBullet4"/>
    <w:rsid w:val="00867623"/>
    <w:pPr>
      <w:ind w:left="1702"/>
    </w:pPr>
  </w:style>
  <w:style w:type="paragraph" w:customStyle="1" w:styleId="B1">
    <w:name w:val="B1"/>
    <w:basedOn w:val="List"/>
    <w:rsid w:val="00867623"/>
  </w:style>
  <w:style w:type="paragraph" w:customStyle="1" w:styleId="B2">
    <w:name w:val="B2"/>
    <w:basedOn w:val="List2"/>
    <w:rsid w:val="00867623"/>
  </w:style>
  <w:style w:type="paragraph" w:customStyle="1" w:styleId="B3">
    <w:name w:val="B3"/>
    <w:basedOn w:val="List3"/>
    <w:rsid w:val="00867623"/>
  </w:style>
  <w:style w:type="paragraph" w:customStyle="1" w:styleId="B4">
    <w:name w:val="B4"/>
    <w:basedOn w:val="List4"/>
    <w:rsid w:val="00867623"/>
  </w:style>
  <w:style w:type="paragraph" w:customStyle="1" w:styleId="B5">
    <w:name w:val="B5"/>
    <w:basedOn w:val="List5"/>
    <w:rsid w:val="00867623"/>
  </w:style>
  <w:style w:type="paragraph" w:styleId="Footer">
    <w:name w:val="footer"/>
    <w:basedOn w:val="Header"/>
    <w:rsid w:val="00867623"/>
    <w:pPr>
      <w:jc w:val="center"/>
    </w:pPr>
    <w:rPr>
      <w:i/>
    </w:rPr>
  </w:style>
  <w:style w:type="paragraph" w:customStyle="1" w:styleId="ZTD">
    <w:name w:val="ZTD"/>
    <w:basedOn w:val="ZB"/>
    <w:rsid w:val="00867623"/>
    <w:pPr>
      <w:framePr w:hRule="auto" w:wrap="notBeside" w:y="852"/>
    </w:pPr>
    <w:rPr>
      <w:i w:val="0"/>
      <w:sz w:val="40"/>
    </w:rPr>
  </w:style>
  <w:style w:type="paragraph" w:customStyle="1" w:styleId="CRCoverPage">
    <w:name w:val="CR Cover Page"/>
    <w:rsid w:val="00867623"/>
    <w:pPr>
      <w:spacing w:after="120"/>
    </w:pPr>
    <w:rPr>
      <w:rFonts w:ascii="Arial" w:eastAsia="MS Mincho" w:hAnsi="Arial"/>
      <w:lang w:val="en-GB"/>
    </w:rPr>
  </w:style>
  <w:style w:type="character" w:styleId="CommentReference">
    <w:name w:val="annotation reference"/>
    <w:semiHidden/>
    <w:rsid w:val="00867623"/>
    <w:rPr>
      <w:sz w:val="16"/>
    </w:rPr>
  </w:style>
  <w:style w:type="paragraph" w:styleId="CommentText">
    <w:name w:val="annotation text"/>
    <w:basedOn w:val="Normal"/>
    <w:semiHidden/>
    <w:rsid w:val="00867623"/>
    <w:pPr>
      <w:overflowPunct/>
      <w:autoSpaceDE/>
      <w:autoSpaceDN/>
      <w:adjustRightInd/>
      <w:textAlignment w:val="auto"/>
    </w:pPr>
    <w:rPr>
      <w:rFonts w:eastAsia="MS Mincho"/>
    </w:rPr>
  </w:style>
  <w:style w:type="paragraph" w:styleId="BodyText2">
    <w:name w:val="Body Text 2"/>
    <w:basedOn w:val="Normal"/>
    <w:rsid w:val="0086762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86762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86762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86762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867623"/>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867623"/>
    <w:rPr>
      <w:rFonts w:ascii="Times New Roman" w:hAnsi="Times New Roman"/>
      <w:b/>
    </w:rPr>
  </w:style>
  <w:style w:type="paragraph" w:customStyle="1" w:styleId="Doc-text2">
    <w:name w:val="Doc-text2"/>
    <w:basedOn w:val="Normal"/>
    <w:link w:val="Doc-text2Char"/>
    <w:qFormat/>
    <w:rsid w:val="0086762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67623"/>
    <w:rPr>
      <w:rFonts w:ascii="Arial" w:eastAsia="MS Mincho" w:hAnsi="Arial"/>
      <w:szCs w:val="24"/>
      <w:lang w:eastAsia="en-GB"/>
    </w:rPr>
  </w:style>
  <w:style w:type="character" w:styleId="FollowedHyperlink">
    <w:name w:val="FollowedHyperlink"/>
    <w:rsid w:val="00BE367E"/>
    <w:rPr>
      <w:color w:val="800080"/>
      <w:u w:val="single"/>
    </w:rPr>
  </w:style>
  <w:style w:type="character" w:customStyle="1" w:styleId="HeaderChar">
    <w:name w:val="Header Char"/>
    <w:aliases w:val="header odd Char"/>
    <w:link w:val="Header"/>
    <w:rsid w:val="009978D7"/>
    <w:rPr>
      <w:rFonts w:ascii="Arial" w:hAnsi="Arial"/>
      <w:b/>
      <w:noProof/>
      <w:sz w:val="18"/>
      <w:lang w:val="en-US" w:eastAsia="en-US" w:bidi="ar-SA"/>
    </w:rPr>
  </w:style>
</w:styles>
</file>

<file path=word/webSettings.xml><?xml version="1.0" encoding="utf-8"?>
<w:webSettings xmlns:r="http://schemas.openxmlformats.org/officeDocument/2006/relationships" xmlns:w="http://schemas.openxmlformats.org/wordprocessingml/2006/main">
  <w:divs>
    <w:div w:id="53458711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919">
      <w:bodyDiv w:val="1"/>
      <w:marLeft w:val="0"/>
      <w:marRight w:val="0"/>
      <w:marTop w:val="0"/>
      <w:marBottom w:val="0"/>
      <w:divBdr>
        <w:top w:val="none" w:sz="0" w:space="0" w:color="auto"/>
        <w:left w:val="none" w:sz="0" w:space="0" w:color="auto"/>
        <w:bottom w:val="none" w:sz="0" w:space="0" w:color="auto"/>
        <w:right w:val="none" w:sz="0" w:space="0" w:color="auto"/>
      </w:divBdr>
    </w:div>
    <w:div w:id="1763599784">
      <w:bodyDiv w:val="1"/>
      <w:marLeft w:val="0"/>
      <w:marRight w:val="0"/>
      <w:marTop w:val="0"/>
      <w:marBottom w:val="0"/>
      <w:divBdr>
        <w:top w:val="none" w:sz="0" w:space="0" w:color="auto"/>
        <w:left w:val="none" w:sz="0" w:space="0" w:color="auto"/>
        <w:bottom w:val="none" w:sz="0" w:space="0" w:color="auto"/>
        <w:right w:val="none" w:sz="0" w:space="0" w:color="auto"/>
      </w:divBdr>
    </w:div>
    <w:div w:id="192001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546E7-6EE6-47A1-A269-6613F3DC5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Dario Serafino Tonesi</cp:lastModifiedBy>
  <cp:revision>5</cp:revision>
  <cp:lastPrinted>2004-04-14T15:17:00Z</cp:lastPrinted>
  <dcterms:created xsi:type="dcterms:W3CDTF">2012-09-28T08:59:00Z</dcterms:created>
  <dcterms:modified xsi:type="dcterms:W3CDTF">2012-09-28T11:44:00Z</dcterms:modified>
</cp:coreProperties>
</file>